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EBC" w:rsidRDefault="00DA4EBC" w:rsidP="00DA4EBC">
      <w:pPr>
        <w:jc w:val="center"/>
        <w:rPr>
          <w:rFonts w:ascii="Barlow" w:hAnsi="Barlow"/>
          <w:b/>
        </w:rPr>
      </w:pPr>
      <w:bookmarkStart w:id="0" w:name="_GoBack"/>
      <w:bookmarkEnd w:id="0"/>
      <w:r>
        <w:rPr>
          <w:rFonts w:ascii="Barlow" w:hAnsi="Barlow"/>
          <w:b/>
        </w:rPr>
        <w:t>Bitácora Digital de información requerida para la evaluación</w:t>
      </w:r>
    </w:p>
    <w:p w:rsidR="00DA4EBC" w:rsidRPr="009C3EC7" w:rsidRDefault="00DA4EBC" w:rsidP="00DA4EBC">
      <w:pPr>
        <w:jc w:val="center"/>
        <w:rPr>
          <w:rFonts w:ascii="Barlow" w:hAnsi="Barlow"/>
          <w:b/>
        </w:rPr>
      </w:pPr>
    </w:p>
    <w:tbl>
      <w:tblPr>
        <w:tblStyle w:val="Tabladecuadrcula4-nfasis1"/>
        <w:tblW w:w="9209" w:type="dxa"/>
        <w:tblLook w:val="06A0" w:firstRow="1" w:lastRow="0" w:firstColumn="1" w:lastColumn="0" w:noHBand="1" w:noVBand="1"/>
      </w:tblPr>
      <w:tblGrid>
        <w:gridCol w:w="2830"/>
        <w:gridCol w:w="6379"/>
      </w:tblGrid>
      <w:tr w:rsidR="00DA4EBC" w:rsidRPr="009C3EC7" w:rsidTr="00DA4E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:rsidR="00DA4EBC" w:rsidRPr="009C3EC7" w:rsidRDefault="00DA4EBC" w:rsidP="00DA4EBC">
            <w:pPr>
              <w:jc w:val="center"/>
              <w:rPr>
                <w:rFonts w:ascii="Barlow" w:hAnsi="Barlow"/>
                <w:b w:val="0"/>
              </w:rPr>
            </w:pPr>
            <w:r w:rsidRPr="009C3EC7">
              <w:rPr>
                <w:rFonts w:ascii="Barlow" w:hAnsi="Barlow"/>
              </w:rPr>
              <w:t>Criterios Técnicos</w:t>
            </w:r>
          </w:p>
        </w:tc>
        <w:tc>
          <w:tcPr>
            <w:tcW w:w="6379" w:type="dxa"/>
            <w:vAlign w:val="center"/>
          </w:tcPr>
          <w:p w:rsidR="00DA4EBC" w:rsidRPr="009C3EC7" w:rsidRDefault="00DA4EBC" w:rsidP="00DA4E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b w:val="0"/>
              </w:rPr>
            </w:pPr>
            <w:r>
              <w:rPr>
                <w:rFonts w:ascii="Barlow" w:hAnsi="Barlow"/>
              </w:rPr>
              <w:t>Documentos de evidencias</w:t>
            </w:r>
          </w:p>
        </w:tc>
      </w:tr>
      <w:tr w:rsidR="00DA4EBC" w:rsidTr="00DA4E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:rsidR="00DA4EBC" w:rsidRDefault="00DA4EBC" w:rsidP="00DA4EBC">
            <w:pPr>
              <w:jc w:val="left"/>
              <w:rPr>
                <w:rFonts w:ascii="Barlow" w:hAnsi="Barlow"/>
              </w:rPr>
            </w:pPr>
            <w:r>
              <w:rPr>
                <w:rFonts w:ascii="Barlow" w:hAnsi="Barlow" w:cs="Barlow"/>
              </w:rPr>
              <w:t>Antecedentes</w:t>
            </w:r>
          </w:p>
        </w:tc>
        <w:tc>
          <w:tcPr>
            <w:tcW w:w="6379" w:type="dxa"/>
            <w:vAlign w:val="center"/>
          </w:tcPr>
          <w:p w:rsidR="00DA4EBC" w:rsidRDefault="00DA4EBC" w:rsidP="00DA4EBC">
            <w:pPr>
              <w:pStyle w:val="Prrafodelista"/>
              <w:numPr>
                <w:ilvl w:val="0"/>
                <w:numId w:val="19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Documento que sustente el problema (Diagnóstico).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19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Identificación de buenas prácticas nacionales o internacionales que fortalezcan el programa.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19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Identificación de programas similares en el ámbito federal, estatal o municipal.</w:t>
            </w:r>
          </w:p>
          <w:p w:rsidR="00DA4EBC" w:rsidRPr="009C3EC7" w:rsidRDefault="00DA4EBC" w:rsidP="00DA4EBC">
            <w:pPr>
              <w:pStyle w:val="Prrafodelista"/>
              <w:numPr>
                <w:ilvl w:val="0"/>
                <w:numId w:val="19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Formato</w:t>
            </w:r>
            <w:r w:rsidRPr="00FE37B8">
              <w:rPr>
                <w:rFonts w:ascii="Barlow" w:hAnsi="Barlow"/>
              </w:rPr>
              <w:t xml:space="preserve"> </w:t>
            </w:r>
            <w:r>
              <w:rPr>
                <w:rFonts w:ascii="Barlow" w:hAnsi="Barlow"/>
              </w:rPr>
              <w:t>de d</w:t>
            </w:r>
            <w:r w:rsidRPr="00FE37B8">
              <w:rPr>
                <w:rFonts w:ascii="Barlow" w:hAnsi="Barlow"/>
              </w:rPr>
              <w:t>ocumentación de buenas prácticas y programas similares</w:t>
            </w:r>
            <w:r>
              <w:rPr>
                <w:rFonts w:ascii="Barlow" w:hAnsi="Barlow"/>
              </w:rPr>
              <w:t xml:space="preserve"> de los Lineamientos de diseño de PP.</w:t>
            </w:r>
          </w:p>
        </w:tc>
      </w:tr>
      <w:tr w:rsidR="00DA4EBC" w:rsidTr="00DA4E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:rsidR="00DA4EBC" w:rsidRDefault="00DA4EBC" w:rsidP="00DA4EBC">
            <w:pPr>
              <w:jc w:val="left"/>
              <w:rPr>
                <w:rFonts w:ascii="Barlow" w:hAnsi="Barlow"/>
              </w:rPr>
            </w:pPr>
            <w:r>
              <w:rPr>
                <w:rFonts w:ascii="Barlow" w:hAnsi="Barlow" w:cs="Barlow"/>
              </w:rPr>
              <w:t>Diagnóstico basado en el análisis del problema</w:t>
            </w:r>
          </w:p>
        </w:tc>
        <w:tc>
          <w:tcPr>
            <w:tcW w:w="6379" w:type="dxa"/>
            <w:vAlign w:val="center"/>
          </w:tcPr>
          <w:p w:rsidR="00DA4EBC" w:rsidRDefault="00DA4EBC" w:rsidP="00DA4EBC">
            <w:pPr>
              <w:pStyle w:val="Prrafodelista"/>
              <w:numPr>
                <w:ilvl w:val="0"/>
                <w:numId w:val="20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Diagnóstico que sustenta el problema identificado.</w:t>
            </w:r>
          </w:p>
          <w:p w:rsidR="00DA4EBC" w:rsidRPr="00A53D69" w:rsidRDefault="00DA4EBC" w:rsidP="00DA4EBC">
            <w:pPr>
              <w:pStyle w:val="Prrafodelista"/>
              <w:numPr>
                <w:ilvl w:val="0"/>
                <w:numId w:val="20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Documentación de análisis del problema.</w:t>
            </w:r>
          </w:p>
        </w:tc>
      </w:tr>
      <w:tr w:rsidR="00DA4EBC" w:rsidTr="00DA4E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:rsidR="00DA4EBC" w:rsidRDefault="00DA4EBC" w:rsidP="00DA4EBC">
            <w:pPr>
              <w:jc w:val="left"/>
              <w:rPr>
                <w:rFonts w:ascii="Barlow" w:hAnsi="Barlow"/>
              </w:rPr>
            </w:pPr>
            <w:r>
              <w:rPr>
                <w:rFonts w:ascii="Barlow" w:hAnsi="Barlow" w:cs="Barlow"/>
              </w:rPr>
              <w:t>Justificación</w:t>
            </w:r>
          </w:p>
        </w:tc>
        <w:tc>
          <w:tcPr>
            <w:tcW w:w="6379" w:type="dxa"/>
            <w:vAlign w:val="center"/>
          </w:tcPr>
          <w:p w:rsidR="00DA4EBC" w:rsidRDefault="00DA4EBC" w:rsidP="00DA4EBC">
            <w:pPr>
              <w:pStyle w:val="Prrafodelista"/>
              <w:numPr>
                <w:ilvl w:val="0"/>
                <w:numId w:val="20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 w:rsidRPr="00A53D69">
              <w:rPr>
                <w:rFonts w:ascii="Barlow" w:hAnsi="Barlow"/>
              </w:rPr>
              <w:t>Documentación de análisis del problema.</w:t>
            </w:r>
          </w:p>
          <w:p w:rsidR="00DA4EBC" w:rsidRPr="00A53D69" w:rsidRDefault="00DA4EBC" w:rsidP="00DA4EBC">
            <w:pPr>
              <w:pStyle w:val="Prrafodelista"/>
              <w:numPr>
                <w:ilvl w:val="0"/>
                <w:numId w:val="20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 xml:space="preserve">Documento en el que se identifique si el programa atiende alguno de los derechos (DESCA) </w:t>
            </w:r>
          </w:p>
        </w:tc>
      </w:tr>
      <w:tr w:rsidR="00DA4EBC" w:rsidTr="00DA4E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:rsidR="00DA4EBC" w:rsidRDefault="00DA4EBC" w:rsidP="00DA4EBC">
            <w:pPr>
              <w:jc w:val="left"/>
              <w:rPr>
                <w:rFonts w:ascii="Barlow" w:hAnsi="Barlow"/>
              </w:rPr>
            </w:pPr>
            <w:r>
              <w:rPr>
                <w:rFonts w:ascii="Barlow" w:hAnsi="Barlow" w:cs="Barlow"/>
              </w:rPr>
              <w:t>Alineación con la planeación del desarrollo</w:t>
            </w:r>
          </w:p>
        </w:tc>
        <w:tc>
          <w:tcPr>
            <w:tcW w:w="6379" w:type="dxa"/>
            <w:vAlign w:val="center"/>
          </w:tcPr>
          <w:p w:rsidR="00DA4EBC" w:rsidRDefault="00DA4EBC" w:rsidP="00DA4EBC">
            <w:pPr>
              <w:pStyle w:val="Prrafodelista"/>
              <w:numPr>
                <w:ilvl w:val="0"/>
                <w:numId w:val="21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Documento en el que se identifique la alineación del programa al PED, PND, PMP nacional.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21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Árbol de problemas.</w:t>
            </w:r>
          </w:p>
          <w:p w:rsidR="00DA4EBC" w:rsidRPr="00A53D69" w:rsidRDefault="00DA4EBC" w:rsidP="00DA4EBC">
            <w:pPr>
              <w:pStyle w:val="Prrafodelista"/>
              <w:numPr>
                <w:ilvl w:val="0"/>
                <w:numId w:val="21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Formato de a</w:t>
            </w:r>
            <w:r w:rsidRPr="00FE37B8">
              <w:rPr>
                <w:rFonts w:ascii="Barlow" w:hAnsi="Barlow"/>
              </w:rPr>
              <w:t>lineación con la planeación del desarrollo</w:t>
            </w:r>
            <w:r>
              <w:rPr>
                <w:rFonts w:ascii="Barlow" w:hAnsi="Barlow"/>
              </w:rPr>
              <w:t xml:space="preserve"> de los Lineamientos de diseño de PP.</w:t>
            </w:r>
          </w:p>
        </w:tc>
      </w:tr>
      <w:tr w:rsidR="00DA4EBC" w:rsidTr="00DA4E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:rsidR="00DA4EBC" w:rsidRDefault="00DA4EBC" w:rsidP="00DA4EBC">
            <w:pPr>
              <w:jc w:val="left"/>
              <w:rPr>
                <w:rFonts w:ascii="Barlow" w:hAnsi="Barlow"/>
              </w:rPr>
            </w:pPr>
            <w:r>
              <w:rPr>
                <w:rFonts w:ascii="Barlow" w:hAnsi="Barlow" w:cs="Barlow"/>
              </w:rPr>
              <w:t>Coherencia con otros programas o intervenciones públicas</w:t>
            </w:r>
          </w:p>
        </w:tc>
        <w:tc>
          <w:tcPr>
            <w:tcW w:w="6379" w:type="dxa"/>
            <w:vAlign w:val="center"/>
          </w:tcPr>
          <w:p w:rsidR="00DA4EBC" w:rsidRDefault="00DA4EBC" w:rsidP="00DA4EBC">
            <w:pPr>
              <w:pStyle w:val="Prrafodelista"/>
              <w:numPr>
                <w:ilvl w:val="0"/>
                <w:numId w:val="22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Documento que compruebe la congruencia con otros programas.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22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MIR de programas que entregan bienes y servicios iguales o similares.</w:t>
            </w:r>
          </w:p>
          <w:p w:rsidR="00DA4EBC" w:rsidRPr="00A53D69" w:rsidRDefault="00DA4EBC" w:rsidP="00DA4EBC">
            <w:pPr>
              <w:pStyle w:val="Prrafodelista"/>
              <w:numPr>
                <w:ilvl w:val="0"/>
                <w:numId w:val="22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Formato de v</w:t>
            </w:r>
            <w:r w:rsidRPr="00FE37B8">
              <w:rPr>
                <w:rFonts w:ascii="Barlow" w:hAnsi="Barlow"/>
              </w:rPr>
              <w:t>inculación con otros programas implementados en el estado</w:t>
            </w:r>
            <w:r>
              <w:rPr>
                <w:rFonts w:ascii="Barlow" w:hAnsi="Barlow"/>
              </w:rPr>
              <w:t xml:space="preserve"> de los Lineamientos de diseño de PP.</w:t>
            </w:r>
          </w:p>
        </w:tc>
      </w:tr>
      <w:tr w:rsidR="00DA4EBC" w:rsidTr="00DA4E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:rsidR="00DA4EBC" w:rsidRDefault="00DA4EBC" w:rsidP="00DA4EBC">
            <w:pPr>
              <w:jc w:val="left"/>
              <w:rPr>
                <w:rFonts w:ascii="Barlow" w:hAnsi="Barlow"/>
              </w:rPr>
            </w:pPr>
            <w:r>
              <w:rPr>
                <w:rFonts w:ascii="Barlow" w:hAnsi="Barlow" w:cs="Barlow"/>
              </w:rPr>
              <w:t>Objetivo del programa</w:t>
            </w:r>
          </w:p>
        </w:tc>
        <w:tc>
          <w:tcPr>
            <w:tcW w:w="6379" w:type="dxa"/>
            <w:vAlign w:val="center"/>
          </w:tcPr>
          <w:p w:rsidR="00DA4EBC" w:rsidRDefault="00DA4EBC" w:rsidP="00DA4EBC">
            <w:pPr>
              <w:pStyle w:val="Prrafodelista"/>
              <w:numPr>
                <w:ilvl w:val="0"/>
                <w:numId w:val="23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Documento que sustente el establecimiento del objetivo del programa.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23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Árbol de problemas.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23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Árbol de objetivos.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23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 xml:space="preserve">Formato de </w:t>
            </w:r>
            <w:r w:rsidRPr="00FE37B8">
              <w:rPr>
                <w:rFonts w:ascii="Barlow" w:hAnsi="Barlow"/>
              </w:rPr>
              <w:t>Criterios para la focalización de la población objetivo</w:t>
            </w:r>
            <w:r>
              <w:rPr>
                <w:rFonts w:ascii="Barlow" w:hAnsi="Barlow"/>
              </w:rPr>
              <w:t xml:space="preserve"> de los Lineamientos de diseño de PP.</w:t>
            </w:r>
          </w:p>
          <w:p w:rsidR="00DA4EBC" w:rsidRPr="00FE37B8" w:rsidRDefault="00DA4EBC" w:rsidP="00DA4EBC">
            <w:pPr>
              <w:pStyle w:val="Prrafodelista"/>
              <w:numPr>
                <w:ilvl w:val="0"/>
                <w:numId w:val="23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Reglas de Operación.</w:t>
            </w:r>
          </w:p>
        </w:tc>
      </w:tr>
      <w:tr w:rsidR="00DA4EBC" w:rsidTr="00DA4E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:rsidR="00DA4EBC" w:rsidRDefault="00DA4EBC" w:rsidP="00DA4EBC">
            <w:pPr>
              <w:jc w:val="left"/>
              <w:rPr>
                <w:rFonts w:ascii="Barlow" w:hAnsi="Barlow" w:cs="Barlow"/>
              </w:rPr>
            </w:pPr>
            <w:r>
              <w:rPr>
                <w:rFonts w:ascii="Barlow" w:hAnsi="Barlow" w:cs="Barlow"/>
              </w:rPr>
              <w:t>Identificación y cuantificación de la población potencial y objetivo</w:t>
            </w:r>
          </w:p>
        </w:tc>
        <w:tc>
          <w:tcPr>
            <w:tcW w:w="6379" w:type="dxa"/>
            <w:vAlign w:val="center"/>
          </w:tcPr>
          <w:p w:rsidR="00DA4EBC" w:rsidRDefault="00DA4EBC" w:rsidP="00DA4EBC">
            <w:pPr>
              <w:pStyle w:val="Prrafodelista"/>
              <w:numPr>
                <w:ilvl w:val="0"/>
                <w:numId w:val="24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 xml:space="preserve">Formato de </w:t>
            </w:r>
            <w:r w:rsidRPr="00FE37B8">
              <w:rPr>
                <w:rFonts w:ascii="Barlow" w:hAnsi="Barlow"/>
              </w:rPr>
              <w:t>Identificación y cuantificación de la población objetivo</w:t>
            </w:r>
            <w:r>
              <w:rPr>
                <w:rFonts w:ascii="Barlow" w:hAnsi="Barlow"/>
              </w:rPr>
              <w:t xml:space="preserve"> de los Lineamientos de diseño de PP.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24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Documento de cuantificación de la población.</w:t>
            </w:r>
          </w:p>
          <w:p w:rsidR="00DA4EBC" w:rsidRPr="00FE37B8" w:rsidRDefault="00DA4EBC" w:rsidP="00DA4EBC">
            <w:pPr>
              <w:pStyle w:val="Prrafodelista"/>
              <w:numPr>
                <w:ilvl w:val="0"/>
                <w:numId w:val="24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Productos estadísticos utilizados para la cuantificación de la población</w:t>
            </w:r>
          </w:p>
        </w:tc>
      </w:tr>
      <w:tr w:rsidR="00DA4EBC" w:rsidTr="00DA4E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:rsidR="00DA4EBC" w:rsidRDefault="00DA4EBC" w:rsidP="00DA4EBC">
            <w:pPr>
              <w:jc w:val="left"/>
              <w:rPr>
                <w:rFonts w:ascii="Barlow" w:hAnsi="Barlow" w:cs="Barlow"/>
              </w:rPr>
            </w:pPr>
            <w:r>
              <w:rPr>
                <w:rFonts w:ascii="Barlow" w:hAnsi="Barlow" w:cs="Barlow"/>
              </w:rPr>
              <w:lastRenderedPageBreak/>
              <w:t>Análisis de la cobertura geográfica</w:t>
            </w:r>
          </w:p>
        </w:tc>
        <w:tc>
          <w:tcPr>
            <w:tcW w:w="6379" w:type="dxa"/>
            <w:vAlign w:val="center"/>
          </w:tcPr>
          <w:p w:rsidR="00DA4EBC" w:rsidRDefault="00DA4EBC" w:rsidP="00DA4EBC">
            <w:pPr>
              <w:pStyle w:val="Prrafodelista"/>
              <w:numPr>
                <w:ilvl w:val="0"/>
                <w:numId w:val="24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 xml:space="preserve">Formato de </w:t>
            </w:r>
            <w:r w:rsidRPr="00FE37B8">
              <w:rPr>
                <w:rFonts w:ascii="Barlow" w:hAnsi="Barlow"/>
              </w:rPr>
              <w:t>Cobertura geográfica</w:t>
            </w:r>
            <w:r>
              <w:rPr>
                <w:rFonts w:ascii="Barlow" w:hAnsi="Barlow"/>
              </w:rPr>
              <w:t xml:space="preserve"> de los Lineamientos de diseño de PP.</w:t>
            </w:r>
          </w:p>
          <w:p w:rsidR="00DA4EBC" w:rsidRPr="00FE37B8" w:rsidRDefault="00DA4EBC" w:rsidP="00DA4EBC">
            <w:pPr>
              <w:pStyle w:val="Prrafodelista"/>
              <w:numPr>
                <w:ilvl w:val="0"/>
                <w:numId w:val="25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Documento del análisis de la cobertura.</w:t>
            </w:r>
          </w:p>
        </w:tc>
      </w:tr>
      <w:tr w:rsidR="00DA4EBC" w:rsidTr="00DA4E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:rsidR="00DA4EBC" w:rsidRDefault="00DA4EBC" w:rsidP="00DA4EBC">
            <w:pPr>
              <w:jc w:val="left"/>
              <w:rPr>
                <w:rFonts w:ascii="Barlow" w:hAnsi="Barlow" w:cs="Barlow"/>
              </w:rPr>
            </w:pPr>
            <w:r>
              <w:rPr>
                <w:rFonts w:ascii="Barlow" w:hAnsi="Barlow" w:cs="Barlow"/>
              </w:rPr>
              <w:t>Matriz de indicadores para resultados</w:t>
            </w:r>
          </w:p>
        </w:tc>
        <w:tc>
          <w:tcPr>
            <w:tcW w:w="6379" w:type="dxa"/>
            <w:vAlign w:val="center"/>
          </w:tcPr>
          <w:p w:rsidR="00DA4EBC" w:rsidRDefault="00DA4EBC" w:rsidP="00DA4EBC">
            <w:pPr>
              <w:pStyle w:val="Prrafodelista"/>
              <w:numPr>
                <w:ilvl w:val="0"/>
                <w:numId w:val="24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Matriz de Indicadores de los Lineamientos de diseño de PP.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24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 xml:space="preserve">Formato de </w:t>
            </w:r>
            <w:r w:rsidRPr="00FE37B8">
              <w:rPr>
                <w:rFonts w:ascii="Barlow" w:hAnsi="Barlow"/>
              </w:rPr>
              <w:t>Características de los bienes y/o servicios del programa</w:t>
            </w:r>
            <w:r>
              <w:rPr>
                <w:rFonts w:ascii="Barlow" w:hAnsi="Barlow"/>
              </w:rPr>
              <w:t xml:space="preserve"> de los Lineamientos de diseño de PP.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25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 xml:space="preserve">Formato de </w:t>
            </w:r>
            <w:r w:rsidRPr="00FE37B8">
              <w:rPr>
                <w:rFonts w:ascii="Barlow" w:hAnsi="Barlow"/>
              </w:rPr>
              <w:t>Ficha Técnica  de Indicadores</w:t>
            </w:r>
            <w:r>
              <w:rPr>
                <w:rFonts w:ascii="Barlow" w:hAnsi="Barlow"/>
              </w:rPr>
              <w:t xml:space="preserve"> de los Lineamientos de diseño de PP.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25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 xml:space="preserve">Formato de las </w:t>
            </w:r>
            <w:r w:rsidRPr="00FE37B8">
              <w:rPr>
                <w:rFonts w:ascii="Barlow" w:hAnsi="Barlow"/>
              </w:rPr>
              <w:t>Fuentes de Información</w:t>
            </w:r>
            <w:r>
              <w:rPr>
                <w:rFonts w:ascii="Barlow" w:hAnsi="Barlow"/>
              </w:rPr>
              <w:t xml:space="preserve"> de los Lineamientos de diseño de PP.</w:t>
            </w:r>
          </w:p>
          <w:p w:rsidR="00DA4EBC" w:rsidRPr="00FE37B8" w:rsidRDefault="00DA4EBC" w:rsidP="00A634D1">
            <w:pPr>
              <w:pStyle w:val="Prrafodelista"/>
              <w:numPr>
                <w:ilvl w:val="0"/>
                <w:numId w:val="25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 xml:space="preserve">Documentos </w:t>
            </w:r>
            <w:r w:rsidR="00A634D1">
              <w:rPr>
                <w:rFonts w:ascii="Barlow" w:hAnsi="Barlow"/>
              </w:rPr>
              <w:t xml:space="preserve">utilizados para la elaboración de </w:t>
            </w:r>
            <w:r>
              <w:rPr>
                <w:rFonts w:ascii="Barlow" w:hAnsi="Barlow"/>
              </w:rPr>
              <w:t>la MIR.</w:t>
            </w:r>
          </w:p>
        </w:tc>
      </w:tr>
      <w:tr w:rsidR="00DA4EBC" w:rsidTr="00DA4E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:rsidR="00DA4EBC" w:rsidRDefault="00DA4EBC" w:rsidP="00DA4EBC">
            <w:pPr>
              <w:jc w:val="left"/>
              <w:rPr>
                <w:rFonts w:ascii="Barlow" w:hAnsi="Barlow" w:cs="Barlow"/>
              </w:rPr>
            </w:pPr>
            <w:r>
              <w:rPr>
                <w:rFonts w:ascii="Barlow" w:hAnsi="Barlow" w:cs="Barlow"/>
              </w:rPr>
              <w:t>Criterios de selección y focalización</w:t>
            </w:r>
          </w:p>
        </w:tc>
        <w:tc>
          <w:tcPr>
            <w:tcW w:w="6379" w:type="dxa"/>
            <w:vAlign w:val="center"/>
          </w:tcPr>
          <w:p w:rsidR="00DA4EBC" w:rsidRDefault="00DA4EBC" w:rsidP="00DA4EBC">
            <w:pPr>
              <w:pStyle w:val="Prrafodelista"/>
              <w:numPr>
                <w:ilvl w:val="0"/>
                <w:numId w:val="26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Documento que establezca los criterios de selección y focalización.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26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 xml:space="preserve">Reportes </w:t>
            </w:r>
            <w:r w:rsidR="00A634D1">
              <w:rPr>
                <w:rFonts w:ascii="Barlow" w:hAnsi="Barlow"/>
              </w:rPr>
              <w:t>o formatos de los</w:t>
            </w:r>
            <w:r>
              <w:rPr>
                <w:rFonts w:ascii="Barlow" w:hAnsi="Barlow"/>
              </w:rPr>
              <w:t xml:space="preserve"> sistemas </w:t>
            </w:r>
            <w:r w:rsidR="00A634D1">
              <w:rPr>
                <w:rFonts w:ascii="Barlow" w:hAnsi="Barlow"/>
              </w:rPr>
              <w:t xml:space="preserve">utilizados para la recepción de solicitud, captura de requisitos y en general con el proceso de selección de beneficiarios. 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26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Normatividad</w:t>
            </w:r>
            <w:r w:rsidR="00A634D1">
              <w:rPr>
                <w:rFonts w:ascii="Barlow" w:hAnsi="Barlow"/>
              </w:rPr>
              <w:t xml:space="preserve"> vigente (en caso que exista) en el que se</w:t>
            </w:r>
            <w:r>
              <w:rPr>
                <w:rFonts w:ascii="Barlow" w:hAnsi="Barlow"/>
              </w:rPr>
              <w:t xml:space="preserve"> establezca los criterios.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26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Reglas de Operación.</w:t>
            </w:r>
          </w:p>
          <w:p w:rsidR="00DA4EBC" w:rsidRPr="00FE37B8" w:rsidRDefault="00DA4EBC" w:rsidP="00DA4EBC">
            <w:pPr>
              <w:pStyle w:val="Prrafodelista"/>
              <w:numPr>
                <w:ilvl w:val="0"/>
                <w:numId w:val="26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Manual de procesos.</w:t>
            </w:r>
          </w:p>
        </w:tc>
      </w:tr>
      <w:tr w:rsidR="00DA4EBC" w:rsidTr="00DA4E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:rsidR="00DA4EBC" w:rsidRDefault="00DA4EBC" w:rsidP="00DA4EBC">
            <w:pPr>
              <w:jc w:val="left"/>
              <w:rPr>
                <w:rFonts w:ascii="Barlow" w:hAnsi="Barlow" w:cs="Barlow"/>
              </w:rPr>
            </w:pPr>
            <w:r>
              <w:rPr>
                <w:rFonts w:ascii="Barlow" w:hAnsi="Barlow" w:cs="Barlow"/>
              </w:rPr>
              <w:t>Información estadística para el seguimiento</w:t>
            </w:r>
          </w:p>
        </w:tc>
        <w:tc>
          <w:tcPr>
            <w:tcW w:w="6379" w:type="dxa"/>
            <w:vAlign w:val="center"/>
          </w:tcPr>
          <w:p w:rsidR="00DA4EBC" w:rsidRDefault="00DA4EBC" w:rsidP="00DA4EBC">
            <w:pPr>
              <w:pStyle w:val="Prrafodelista"/>
              <w:numPr>
                <w:ilvl w:val="0"/>
                <w:numId w:val="27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Registros administrativos de la información</w:t>
            </w:r>
            <w:r w:rsidR="00A634D1">
              <w:rPr>
                <w:rFonts w:ascii="Barlow" w:hAnsi="Barlow"/>
              </w:rPr>
              <w:t xml:space="preserve"> utilizada para el seguimiento de los beneficiarios y cálculo de los indicadores de la MIR</w:t>
            </w:r>
            <w:r>
              <w:rPr>
                <w:rFonts w:ascii="Barlow" w:hAnsi="Barlow"/>
              </w:rPr>
              <w:t>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27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Reportes estadísticos de la información.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27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Ficha técnica de indicadores.</w:t>
            </w:r>
          </w:p>
          <w:p w:rsidR="00DA4EBC" w:rsidRPr="00AA6906" w:rsidRDefault="00DA4EBC" w:rsidP="00A634D1">
            <w:pPr>
              <w:pStyle w:val="Prrafodelista"/>
              <w:numPr>
                <w:ilvl w:val="0"/>
                <w:numId w:val="27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Cálculos estadísticos de la información</w:t>
            </w:r>
            <w:r w:rsidR="00A634D1">
              <w:rPr>
                <w:rFonts w:ascii="Barlow" w:hAnsi="Barlow"/>
              </w:rPr>
              <w:t xml:space="preserve"> para e</w:t>
            </w:r>
            <w:r>
              <w:rPr>
                <w:rFonts w:ascii="Barlow" w:hAnsi="Barlow"/>
              </w:rPr>
              <w:t>l programa.</w:t>
            </w:r>
          </w:p>
        </w:tc>
      </w:tr>
      <w:tr w:rsidR="00DA4EBC" w:rsidTr="00DA4E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:rsidR="00DA4EBC" w:rsidRDefault="00DA4EBC" w:rsidP="00DA4EBC">
            <w:pPr>
              <w:jc w:val="left"/>
              <w:rPr>
                <w:rFonts w:ascii="Barlow" w:hAnsi="Barlow" w:cs="Barlow"/>
              </w:rPr>
            </w:pPr>
            <w:r>
              <w:rPr>
                <w:rFonts w:ascii="Barlow" w:hAnsi="Barlow" w:cs="Barlow"/>
              </w:rPr>
              <w:t>Programación de la intervención</w:t>
            </w:r>
          </w:p>
        </w:tc>
        <w:tc>
          <w:tcPr>
            <w:tcW w:w="6379" w:type="dxa"/>
            <w:vAlign w:val="center"/>
          </w:tcPr>
          <w:p w:rsidR="00DA4EBC" w:rsidRDefault="00DA4EBC" w:rsidP="00DA4EBC">
            <w:pPr>
              <w:pStyle w:val="Prrafodelista"/>
              <w:numPr>
                <w:ilvl w:val="0"/>
                <w:numId w:val="28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Manual de procesos.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28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Reglas de Operación.</w:t>
            </w:r>
          </w:p>
          <w:p w:rsidR="00DA4EBC" w:rsidRPr="00AA6906" w:rsidRDefault="00DA4EBC" w:rsidP="00DA4EBC">
            <w:pPr>
              <w:pStyle w:val="Prrafodelista"/>
              <w:numPr>
                <w:ilvl w:val="0"/>
                <w:numId w:val="28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Normatividad que sustente los procesos del programa.</w:t>
            </w:r>
          </w:p>
        </w:tc>
      </w:tr>
    </w:tbl>
    <w:p w:rsidR="00DA4EBC" w:rsidRDefault="00A634D1" w:rsidP="00DA4EBC">
      <w:pPr>
        <w:rPr>
          <w:rFonts w:ascii="Barlow" w:hAnsi="Barlow"/>
        </w:rPr>
      </w:pPr>
      <w:r>
        <w:rPr>
          <w:rFonts w:ascii="Barlow" w:hAnsi="Barlow"/>
        </w:rPr>
        <w:t>*Los documentos que se repitan solo se deberán entregar una sola vez.</w:t>
      </w:r>
    </w:p>
    <w:p w:rsidR="00A634D1" w:rsidRPr="009C3EC7" w:rsidRDefault="00A634D1" w:rsidP="00DA4EBC">
      <w:pPr>
        <w:rPr>
          <w:rFonts w:ascii="Barlow" w:hAnsi="Barlow"/>
        </w:rPr>
      </w:pPr>
      <w:r>
        <w:rPr>
          <w:rFonts w:ascii="Barlow" w:hAnsi="Barlow"/>
        </w:rPr>
        <w:t xml:space="preserve">De igual manera se puede entregar información complementaria o suplementaria que coadyuve a la realización de la evaluación. </w:t>
      </w:r>
    </w:p>
    <w:p w:rsidR="00226FC0" w:rsidRPr="00226FC0" w:rsidRDefault="00226FC0" w:rsidP="001C4A5F">
      <w:pPr>
        <w:ind w:left="720" w:hanging="360"/>
        <w:rPr>
          <w:rFonts w:ascii="Barlow" w:hAnsi="Barlow"/>
        </w:rPr>
      </w:pPr>
    </w:p>
    <w:p w:rsidR="00226FC0" w:rsidRPr="00226FC0" w:rsidRDefault="00226FC0" w:rsidP="001C4A5F">
      <w:pPr>
        <w:rPr>
          <w:rFonts w:ascii="Barlow" w:hAnsi="Barlow"/>
        </w:rPr>
      </w:pPr>
    </w:p>
    <w:p w:rsidR="00226FC0" w:rsidRPr="00226FC0" w:rsidRDefault="00226FC0" w:rsidP="001C4A5F">
      <w:pPr>
        <w:rPr>
          <w:rFonts w:ascii="Barlow" w:hAnsi="Barlow"/>
        </w:rPr>
      </w:pPr>
    </w:p>
    <w:p w:rsidR="006363A6" w:rsidRPr="0068287A" w:rsidRDefault="006363A6" w:rsidP="001C4A5F">
      <w:pPr>
        <w:rPr>
          <w:rFonts w:ascii="Barlow" w:hAnsi="Barlow"/>
          <w:sz w:val="22"/>
        </w:rPr>
      </w:pPr>
    </w:p>
    <w:sectPr w:rsidR="006363A6" w:rsidRPr="0068287A" w:rsidSect="00892605">
      <w:headerReference w:type="default" r:id="rId8"/>
      <w:footerReference w:type="default" r:id="rId9"/>
      <w:pgSz w:w="12240" w:h="15840"/>
      <w:pgMar w:top="1417" w:right="1325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337" w:rsidRDefault="00AF3337" w:rsidP="00BA493C">
      <w:r>
        <w:separator/>
      </w:r>
    </w:p>
  </w:endnote>
  <w:endnote w:type="continuationSeparator" w:id="0">
    <w:p w:rsidR="00AF3337" w:rsidRDefault="00AF3337" w:rsidP="00BA4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rlow">
    <w:panose1 w:val="00000500000000000000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3862" w:rsidRDefault="004F3862">
    <w:pPr>
      <w:pStyle w:val="Piedepgina"/>
    </w:pPr>
    <w:r w:rsidRPr="0041280F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C50009" wp14:editId="260482A1">
              <wp:simplePos x="0" y="0"/>
              <wp:positionH relativeFrom="column">
                <wp:posOffset>-580228</wp:posOffset>
              </wp:positionH>
              <wp:positionV relativeFrom="paragraph">
                <wp:posOffset>78105</wp:posOffset>
              </wp:positionV>
              <wp:extent cx="2536825" cy="549910"/>
              <wp:effectExtent l="0" t="0" r="0" b="254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6825" cy="549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F3862" w:rsidRPr="00AF32F2" w:rsidRDefault="004F3862" w:rsidP="0041280F">
                          <w:pPr>
                            <w:spacing w:line="240" w:lineRule="exact"/>
                            <w:rPr>
                              <w:rFonts w:ascii="Barlow" w:hAnsi="Barlow"/>
                              <w:color w:val="D9D9D9" w:themeColor="background1" w:themeShade="D9"/>
                              <w:sz w:val="17"/>
                              <w:szCs w:val="17"/>
                            </w:rPr>
                          </w:pPr>
                          <w:r w:rsidRPr="00AF32F2">
                            <w:rPr>
                              <w:rFonts w:ascii="Barlow" w:hAnsi="Barlow"/>
                              <w:color w:val="D9D9D9" w:themeColor="background1" w:themeShade="D9"/>
                              <w:sz w:val="17"/>
                              <w:szCs w:val="17"/>
                            </w:rPr>
                            <w:t>Calle 20-A Número exterior 284-B Piso 4 entre</w:t>
                          </w:r>
                        </w:p>
                        <w:p w:rsidR="004F3862" w:rsidRPr="00AF32F2" w:rsidRDefault="004F3862" w:rsidP="0041280F">
                          <w:pPr>
                            <w:spacing w:line="240" w:lineRule="exact"/>
                            <w:rPr>
                              <w:rFonts w:ascii="Barlow" w:hAnsi="Barlow"/>
                              <w:color w:val="D9D9D9" w:themeColor="background1" w:themeShade="D9"/>
                              <w:sz w:val="17"/>
                              <w:szCs w:val="17"/>
                            </w:rPr>
                          </w:pPr>
                          <w:proofErr w:type="gramStart"/>
                          <w:r w:rsidRPr="00AF32F2">
                            <w:rPr>
                              <w:rFonts w:ascii="Barlow" w:hAnsi="Barlow"/>
                              <w:color w:val="D9D9D9" w:themeColor="background1" w:themeShade="D9"/>
                              <w:sz w:val="17"/>
                              <w:szCs w:val="17"/>
                            </w:rPr>
                            <w:t>calle</w:t>
                          </w:r>
                          <w:proofErr w:type="gramEnd"/>
                          <w:r w:rsidRPr="00AF32F2">
                            <w:rPr>
                              <w:rFonts w:ascii="Barlow" w:hAnsi="Barlow"/>
                              <w:color w:val="D9D9D9" w:themeColor="background1" w:themeShade="D9"/>
                              <w:sz w:val="17"/>
                              <w:szCs w:val="17"/>
                            </w:rPr>
                            <w:t xml:space="preserve"> 3-C y calle 49 diagonal, Colonia Xcumpich,</w:t>
                          </w:r>
                        </w:p>
                        <w:p w:rsidR="004F3862" w:rsidRPr="00AF32F2" w:rsidRDefault="004F3862" w:rsidP="0041280F">
                          <w:pPr>
                            <w:spacing w:line="240" w:lineRule="exact"/>
                            <w:rPr>
                              <w:rFonts w:ascii="Barlow" w:hAnsi="Barlow"/>
                              <w:color w:val="D9D9D9" w:themeColor="background1" w:themeShade="D9"/>
                              <w:sz w:val="17"/>
                              <w:szCs w:val="17"/>
                            </w:rPr>
                          </w:pPr>
                          <w:r w:rsidRPr="00AF32F2">
                            <w:rPr>
                              <w:rFonts w:ascii="Barlow" w:hAnsi="Barlow"/>
                              <w:color w:val="D9D9D9" w:themeColor="background1" w:themeShade="D9"/>
                              <w:sz w:val="17"/>
                              <w:szCs w:val="17"/>
                            </w:rPr>
                            <w:t>C.P. 97204, Mérida, Yucatán, México.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C50009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-45.7pt;margin-top:6.15pt;width:199.75pt;height:4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" filled="f" stroked="f">
              <v:textbox>
                <w:txbxContent>
                  <w:p w:rsidR="004F3862" w:rsidRPr="00AF32F2" w:rsidRDefault="004F3862" w:rsidP="0041280F">
                    <w:pPr>
                      <w:spacing w:line="240" w:lineRule="exact"/>
                      <w:rPr>
                        <w:rFonts w:ascii="Barlow" w:hAnsi="Barlow"/>
                        <w:color w:val="D9D9D9" w:themeColor="background1" w:themeShade="D9"/>
                        <w:sz w:val="17"/>
                        <w:szCs w:val="17"/>
                      </w:rPr>
                    </w:pPr>
                    <w:r w:rsidRPr="00AF32F2">
                      <w:rPr>
                        <w:rFonts w:ascii="Barlow" w:hAnsi="Barlow"/>
                        <w:color w:val="D9D9D9" w:themeColor="background1" w:themeShade="D9"/>
                        <w:sz w:val="17"/>
                        <w:szCs w:val="17"/>
                      </w:rPr>
                      <w:t>Calle 20-A Número exterior 284-B Piso 4 entre</w:t>
                    </w:r>
                  </w:p>
                  <w:p w:rsidR="004F3862" w:rsidRPr="00AF32F2" w:rsidRDefault="004F3862" w:rsidP="0041280F">
                    <w:pPr>
                      <w:spacing w:line="240" w:lineRule="exact"/>
                      <w:rPr>
                        <w:rFonts w:ascii="Barlow" w:hAnsi="Barlow"/>
                        <w:color w:val="D9D9D9" w:themeColor="background1" w:themeShade="D9"/>
                        <w:sz w:val="17"/>
                        <w:szCs w:val="17"/>
                      </w:rPr>
                    </w:pPr>
                    <w:proofErr w:type="gramStart"/>
                    <w:r w:rsidRPr="00AF32F2">
                      <w:rPr>
                        <w:rFonts w:ascii="Barlow" w:hAnsi="Barlow"/>
                        <w:color w:val="D9D9D9" w:themeColor="background1" w:themeShade="D9"/>
                        <w:sz w:val="17"/>
                        <w:szCs w:val="17"/>
                      </w:rPr>
                      <w:t>calle</w:t>
                    </w:r>
                    <w:proofErr w:type="gramEnd"/>
                    <w:r w:rsidRPr="00AF32F2">
                      <w:rPr>
                        <w:rFonts w:ascii="Barlow" w:hAnsi="Barlow"/>
                        <w:color w:val="D9D9D9" w:themeColor="background1" w:themeShade="D9"/>
                        <w:sz w:val="17"/>
                        <w:szCs w:val="17"/>
                      </w:rPr>
                      <w:t xml:space="preserve"> 3-C y calle 49 diagonal, Colonia Xcumpich,</w:t>
                    </w:r>
                  </w:p>
                  <w:p w:rsidR="004F3862" w:rsidRPr="00AF32F2" w:rsidRDefault="004F3862" w:rsidP="0041280F">
                    <w:pPr>
                      <w:spacing w:line="240" w:lineRule="exact"/>
                      <w:rPr>
                        <w:rFonts w:ascii="Barlow" w:hAnsi="Barlow"/>
                        <w:color w:val="D9D9D9" w:themeColor="background1" w:themeShade="D9"/>
                        <w:sz w:val="17"/>
                        <w:szCs w:val="17"/>
                      </w:rPr>
                    </w:pPr>
                    <w:r w:rsidRPr="00AF32F2">
                      <w:rPr>
                        <w:rFonts w:ascii="Barlow" w:hAnsi="Barlow"/>
                        <w:color w:val="D9D9D9" w:themeColor="background1" w:themeShade="D9"/>
                        <w:sz w:val="17"/>
                        <w:szCs w:val="17"/>
                      </w:rPr>
                      <w:t>C.P. 97204, Mérida, Yucatán, México.</w:t>
                    </w:r>
                  </w:p>
                </w:txbxContent>
              </v:textbox>
            </v:shape>
          </w:pict>
        </mc:Fallback>
      </mc:AlternateContent>
    </w:r>
    <w:r w:rsidRPr="0041280F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134154" wp14:editId="7D6A957E">
              <wp:simplePos x="0" y="0"/>
              <wp:positionH relativeFrom="column">
                <wp:posOffset>1933102</wp:posOffset>
              </wp:positionH>
              <wp:positionV relativeFrom="paragraph">
                <wp:posOffset>158750</wp:posOffset>
              </wp:positionV>
              <wp:extent cx="1714500" cy="396240"/>
              <wp:effectExtent l="0" t="0" r="0" b="381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F3862" w:rsidRPr="00EC3D45" w:rsidRDefault="004F3862" w:rsidP="0041280F">
                          <w:pPr>
                            <w:spacing w:line="240" w:lineRule="exact"/>
                            <w:rPr>
                              <w:rFonts w:ascii="Barlow" w:hAnsi="Barlow"/>
                              <w:color w:val="D9D9D9" w:themeColor="background1" w:themeShade="D9"/>
                              <w:sz w:val="17"/>
                              <w:szCs w:val="17"/>
                              <w:lang w:val="fr-FR"/>
                            </w:rPr>
                          </w:pPr>
                          <w:r w:rsidRPr="00EC3D45">
                            <w:rPr>
                              <w:rFonts w:ascii="Barlow" w:hAnsi="Barlow"/>
                              <w:b/>
                              <w:color w:val="D9D9D9" w:themeColor="background1" w:themeShade="D9"/>
                              <w:sz w:val="17"/>
                              <w:szCs w:val="17"/>
                              <w:lang w:val="fr-FR"/>
                            </w:rPr>
                            <w:t>T</w:t>
                          </w:r>
                          <w:r w:rsidRPr="00EC3D45">
                            <w:rPr>
                              <w:rFonts w:ascii="Barlow" w:hAnsi="Barlow"/>
                              <w:color w:val="D9D9D9" w:themeColor="background1" w:themeShade="D9"/>
                              <w:sz w:val="17"/>
                              <w:szCs w:val="17"/>
                              <w:lang w:val="fr-FR"/>
                            </w:rPr>
                            <w:t xml:space="preserve"> +52 (999) 611 8010 Ext. 47001</w:t>
                          </w:r>
                        </w:p>
                        <w:p w:rsidR="004F3862" w:rsidRPr="00EC3D45" w:rsidRDefault="004F3862" w:rsidP="0041280F">
                          <w:pPr>
                            <w:spacing w:line="240" w:lineRule="exact"/>
                            <w:rPr>
                              <w:rFonts w:ascii="Barlow" w:hAnsi="Barlow"/>
                              <w:b/>
                              <w:color w:val="D9D9D9" w:themeColor="background1" w:themeShade="D9"/>
                              <w:sz w:val="17"/>
                              <w:szCs w:val="17"/>
                              <w:lang w:val="fr-FR"/>
                            </w:rPr>
                          </w:pPr>
                          <w:r w:rsidRPr="00EC3D45">
                            <w:rPr>
                              <w:rFonts w:ascii="Barlow" w:hAnsi="Barlow"/>
                              <w:b/>
                              <w:color w:val="D9D9D9" w:themeColor="background1" w:themeShade="D9"/>
                              <w:sz w:val="17"/>
                              <w:szCs w:val="17"/>
                              <w:lang w:val="fr-FR"/>
                            </w:rPr>
                            <w:t>seplan.yucatan.gob.mx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134154" id="Cuadro de texto 2" o:spid="_x0000_s1027" type="#_x0000_t202" style="position:absolute;left:0;text-align:left;margin-left:152.2pt;margin-top:12.5pt;width:135pt;height:3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" filled="f" stroked="f">
              <v:textbox>
                <w:txbxContent>
                  <w:p w:rsidR="004F3862" w:rsidRPr="00EC3D45" w:rsidRDefault="004F3862" w:rsidP="0041280F">
                    <w:pPr>
                      <w:spacing w:line="240" w:lineRule="exact"/>
                      <w:rPr>
                        <w:rFonts w:ascii="Barlow" w:hAnsi="Barlow"/>
                        <w:color w:val="D9D9D9" w:themeColor="background1" w:themeShade="D9"/>
                        <w:sz w:val="17"/>
                        <w:szCs w:val="17"/>
                        <w:lang w:val="fr-FR"/>
                      </w:rPr>
                    </w:pPr>
                    <w:r w:rsidRPr="00EC3D45">
                      <w:rPr>
                        <w:rFonts w:ascii="Barlow" w:hAnsi="Barlow"/>
                        <w:b/>
                        <w:color w:val="D9D9D9" w:themeColor="background1" w:themeShade="D9"/>
                        <w:sz w:val="17"/>
                        <w:szCs w:val="17"/>
                        <w:lang w:val="fr-FR"/>
                      </w:rPr>
                      <w:t>T</w:t>
                    </w:r>
                    <w:r w:rsidRPr="00EC3D45">
                      <w:rPr>
                        <w:rFonts w:ascii="Barlow" w:hAnsi="Barlow"/>
                        <w:color w:val="D9D9D9" w:themeColor="background1" w:themeShade="D9"/>
                        <w:sz w:val="17"/>
                        <w:szCs w:val="17"/>
                        <w:lang w:val="fr-FR"/>
                      </w:rPr>
                      <w:t xml:space="preserve"> +52 (999) 611 8010 Ext. 47001</w:t>
                    </w:r>
                  </w:p>
                  <w:p w:rsidR="004F3862" w:rsidRPr="00EC3D45" w:rsidRDefault="004F3862" w:rsidP="0041280F">
                    <w:pPr>
                      <w:spacing w:line="240" w:lineRule="exact"/>
                      <w:rPr>
                        <w:rFonts w:ascii="Barlow" w:hAnsi="Barlow"/>
                        <w:b/>
                        <w:color w:val="D9D9D9" w:themeColor="background1" w:themeShade="D9"/>
                        <w:sz w:val="17"/>
                        <w:szCs w:val="17"/>
                        <w:lang w:val="fr-FR"/>
                      </w:rPr>
                    </w:pPr>
                    <w:r w:rsidRPr="00EC3D45">
                      <w:rPr>
                        <w:rFonts w:ascii="Barlow" w:hAnsi="Barlow"/>
                        <w:b/>
                        <w:color w:val="D9D9D9" w:themeColor="background1" w:themeShade="D9"/>
                        <w:sz w:val="17"/>
                        <w:szCs w:val="17"/>
                        <w:lang w:val="fr-FR"/>
                      </w:rPr>
                      <w:t>seplan.yucatan.gob.mx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6556C4BB" wp14:editId="71CB7BDA">
          <wp:simplePos x="0" y="0"/>
          <wp:positionH relativeFrom="page">
            <wp:posOffset>-45085</wp:posOffset>
          </wp:positionH>
          <wp:positionV relativeFrom="paragraph">
            <wp:posOffset>-1106695</wp:posOffset>
          </wp:positionV>
          <wp:extent cx="7810500" cy="1732280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_membret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0" cy="173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337" w:rsidRDefault="00AF3337" w:rsidP="00BA493C">
      <w:r>
        <w:separator/>
      </w:r>
    </w:p>
  </w:footnote>
  <w:footnote w:type="continuationSeparator" w:id="0">
    <w:p w:rsidR="00AF3337" w:rsidRDefault="00AF3337" w:rsidP="00BA49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94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  <w:gridCol w:w="2694"/>
    </w:tblGrid>
    <w:tr w:rsidR="004F3862" w:rsidTr="008E558F">
      <w:trPr>
        <w:trHeight w:val="415"/>
      </w:trPr>
      <w:tc>
        <w:tcPr>
          <w:tcW w:w="6804" w:type="dxa"/>
        </w:tcPr>
        <w:p w:rsidR="004F3862" w:rsidRDefault="004F3862" w:rsidP="00BA493C">
          <w:pPr>
            <w:pStyle w:val="Encabezado"/>
          </w:pPr>
          <w:r w:rsidRPr="0041280F">
            <w:rPr>
              <w:noProof/>
              <w:lang w:eastAsia="es-MX"/>
            </w:rPr>
            <w:drawing>
              <wp:inline distT="0" distB="0" distL="0" distR="0" wp14:anchorId="3C35EC58" wp14:editId="328289D4">
                <wp:extent cx="2600077" cy="660170"/>
                <wp:effectExtent l="0" t="0" r="0" b="0"/>
                <wp:docPr id="18" name="Imagen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8716" cy="672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4" w:type="dxa"/>
          <w:shd w:val="clear" w:color="auto" w:fill="5A6CC2" w:themeFill="accent1" w:themeFillTint="99"/>
          <w:vAlign w:val="center"/>
        </w:tcPr>
        <w:p w:rsidR="004F3862" w:rsidRPr="00226FC0" w:rsidRDefault="00DA4EBC" w:rsidP="00226FC0">
          <w:pPr>
            <w:tabs>
              <w:tab w:val="left" w:pos="5775"/>
            </w:tabs>
            <w:jc w:val="center"/>
            <w:rPr>
              <w:rFonts w:ascii="Barlow" w:hAnsi="Barlow"/>
              <w:b/>
              <w:bCs/>
              <w:color w:val="FFFFFF" w:themeColor="background1"/>
              <w:sz w:val="22"/>
              <w:lang w:val="es-ES"/>
            </w:rPr>
          </w:pPr>
          <w:r>
            <w:rPr>
              <w:rFonts w:ascii="Barlow" w:hAnsi="Barlow"/>
              <w:b/>
              <w:bCs/>
              <w:color w:val="FFFFFF" w:themeColor="background1"/>
              <w:sz w:val="22"/>
              <w:lang w:val="es-ES"/>
            </w:rPr>
            <w:t>Bitácora Digital</w:t>
          </w:r>
        </w:p>
      </w:tc>
    </w:tr>
  </w:tbl>
  <w:p w:rsidR="004F3862" w:rsidRDefault="004F386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869E5"/>
    <w:multiLevelType w:val="hybridMultilevel"/>
    <w:tmpl w:val="8F2CFF6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11BAA"/>
    <w:multiLevelType w:val="hybridMultilevel"/>
    <w:tmpl w:val="1616934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E45A9"/>
    <w:multiLevelType w:val="hybridMultilevel"/>
    <w:tmpl w:val="B2FC08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E2D9D"/>
    <w:multiLevelType w:val="hybridMultilevel"/>
    <w:tmpl w:val="44ACCC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00C42"/>
    <w:multiLevelType w:val="hybridMultilevel"/>
    <w:tmpl w:val="207CA9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E66967"/>
    <w:multiLevelType w:val="hybridMultilevel"/>
    <w:tmpl w:val="322C0DA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E6259B"/>
    <w:multiLevelType w:val="hybridMultilevel"/>
    <w:tmpl w:val="C7DA6C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C07844"/>
    <w:multiLevelType w:val="hybridMultilevel"/>
    <w:tmpl w:val="1638B9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084A86"/>
    <w:multiLevelType w:val="hybridMultilevel"/>
    <w:tmpl w:val="36024CF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C44F3"/>
    <w:multiLevelType w:val="hybridMultilevel"/>
    <w:tmpl w:val="91E8F3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AE6FB3"/>
    <w:multiLevelType w:val="hybridMultilevel"/>
    <w:tmpl w:val="DA847B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A00D86"/>
    <w:multiLevelType w:val="hybridMultilevel"/>
    <w:tmpl w:val="C164B1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3F4169"/>
    <w:multiLevelType w:val="hybridMultilevel"/>
    <w:tmpl w:val="53B4B752"/>
    <w:lvl w:ilvl="0" w:tplc="C53E7650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8C66C9"/>
    <w:multiLevelType w:val="hybridMultilevel"/>
    <w:tmpl w:val="F1C847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A7509C"/>
    <w:multiLevelType w:val="hybridMultilevel"/>
    <w:tmpl w:val="73F647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C233C0"/>
    <w:multiLevelType w:val="hybridMultilevel"/>
    <w:tmpl w:val="FEB89CE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C66373"/>
    <w:multiLevelType w:val="hybridMultilevel"/>
    <w:tmpl w:val="159C4D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E54E64"/>
    <w:multiLevelType w:val="hybridMultilevel"/>
    <w:tmpl w:val="0BE47D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D52A69"/>
    <w:multiLevelType w:val="hybridMultilevel"/>
    <w:tmpl w:val="4EFA57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CB69E6"/>
    <w:multiLevelType w:val="hybridMultilevel"/>
    <w:tmpl w:val="E7764D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051D1F"/>
    <w:multiLevelType w:val="hybridMultilevel"/>
    <w:tmpl w:val="559257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7F209E"/>
    <w:multiLevelType w:val="hybridMultilevel"/>
    <w:tmpl w:val="6D3AB6AE"/>
    <w:lvl w:ilvl="0" w:tplc="A7C2382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18745812">
      <w:start w:val="1"/>
      <w:numFmt w:val="lowerLetter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F636A8"/>
    <w:multiLevelType w:val="hybridMultilevel"/>
    <w:tmpl w:val="FDF2D1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141E67"/>
    <w:multiLevelType w:val="hybridMultilevel"/>
    <w:tmpl w:val="0EE255E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F60605"/>
    <w:multiLevelType w:val="hybridMultilevel"/>
    <w:tmpl w:val="158ABE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E73958"/>
    <w:multiLevelType w:val="hybridMultilevel"/>
    <w:tmpl w:val="74DA3326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0500719"/>
    <w:multiLevelType w:val="hybridMultilevel"/>
    <w:tmpl w:val="BB0E8FF0"/>
    <w:lvl w:ilvl="0" w:tplc="0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70A251E7"/>
    <w:multiLevelType w:val="hybridMultilevel"/>
    <w:tmpl w:val="207CA9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0"/>
  </w:num>
  <w:num w:numId="4">
    <w:abstractNumId w:val="8"/>
  </w:num>
  <w:num w:numId="5">
    <w:abstractNumId w:val="5"/>
  </w:num>
  <w:num w:numId="6">
    <w:abstractNumId w:val="21"/>
  </w:num>
  <w:num w:numId="7">
    <w:abstractNumId w:val="23"/>
  </w:num>
  <w:num w:numId="8">
    <w:abstractNumId w:val="1"/>
  </w:num>
  <w:num w:numId="9">
    <w:abstractNumId w:val="12"/>
  </w:num>
  <w:num w:numId="10">
    <w:abstractNumId w:val="22"/>
  </w:num>
  <w:num w:numId="11">
    <w:abstractNumId w:val="4"/>
  </w:num>
  <w:num w:numId="12">
    <w:abstractNumId w:val="9"/>
  </w:num>
  <w:num w:numId="13">
    <w:abstractNumId w:val="2"/>
  </w:num>
  <w:num w:numId="14">
    <w:abstractNumId w:val="27"/>
  </w:num>
  <w:num w:numId="15">
    <w:abstractNumId w:val="17"/>
  </w:num>
  <w:num w:numId="16">
    <w:abstractNumId w:val="25"/>
  </w:num>
  <w:num w:numId="17">
    <w:abstractNumId w:val="20"/>
  </w:num>
  <w:num w:numId="18">
    <w:abstractNumId w:val="26"/>
  </w:num>
  <w:num w:numId="19">
    <w:abstractNumId w:val="10"/>
  </w:num>
  <w:num w:numId="20">
    <w:abstractNumId w:val="7"/>
  </w:num>
  <w:num w:numId="21">
    <w:abstractNumId w:val="6"/>
  </w:num>
  <w:num w:numId="22">
    <w:abstractNumId w:val="14"/>
  </w:num>
  <w:num w:numId="23">
    <w:abstractNumId w:val="13"/>
  </w:num>
  <w:num w:numId="24">
    <w:abstractNumId w:val="3"/>
  </w:num>
  <w:num w:numId="25">
    <w:abstractNumId w:val="11"/>
  </w:num>
  <w:num w:numId="26">
    <w:abstractNumId w:val="18"/>
  </w:num>
  <w:num w:numId="27">
    <w:abstractNumId w:val="19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630"/>
    <w:rsid w:val="00001756"/>
    <w:rsid w:val="00005393"/>
    <w:rsid w:val="00031C09"/>
    <w:rsid w:val="0004116B"/>
    <w:rsid w:val="00041CE1"/>
    <w:rsid w:val="00050066"/>
    <w:rsid w:val="00066906"/>
    <w:rsid w:val="00084D68"/>
    <w:rsid w:val="00097C64"/>
    <w:rsid w:val="000B1F54"/>
    <w:rsid w:val="000B5906"/>
    <w:rsid w:val="000F507F"/>
    <w:rsid w:val="000F6EBD"/>
    <w:rsid w:val="00101933"/>
    <w:rsid w:val="00102083"/>
    <w:rsid w:val="001129B4"/>
    <w:rsid w:val="00116C44"/>
    <w:rsid w:val="0012045E"/>
    <w:rsid w:val="00123BAA"/>
    <w:rsid w:val="00126A4B"/>
    <w:rsid w:val="001275F1"/>
    <w:rsid w:val="001336A7"/>
    <w:rsid w:val="00147246"/>
    <w:rsid w:val="0015703D"/>
    <w:rsid w:val="001667F3"/>
    <w:rsid w:val="00167047"/>
    <w:rsid w:val="00184719"/>
    <w:rsid w:val="00186C25"/>
    <w:rsid w:val="001A4496"/>
    <w:rsid w:val="001B004B"/>
    <w:rsid w:val="001C4A5F"/>
    <w:rsid w:val="001D04D1"/>
    <w:rsid w:val="001D07F6"/>
    <w:rsid w:val="001D320B"/>
    <w:rsid w:val="001D6930"/>
    <w:rsid w:val="001D6C9E"/>
    <w:rsid w:val="001E0938"/>
    <w:rsid w:val="001E4275"/>
    <w:rsid w:val="001E46D6"/>
    <w:rsid w:val="001E50E7"/>
    <w:rsid w:val="001F1202"/>
    <w:rsid w:val="002000A9"/>
    <w:rsid w:val="00201742"/>
    <w:rsid w:val="00203022"/>
    <w:rsid w:val="00226FC0"/>
    <w:rsid w:val="00250380"/>
    <w:rsid w:val="00264418"/>
    <w:rsid w:val="002755CB"/>
    <w:rsid w:val="0029145B"/>
    <w:rsid w:val="00293C5C"/>
    <w:rsid w:val="002A178B"/>
    <w:rsid w:val="002B12AF"/>
    <w:rsid w:val="002B1C8E"/>
    <w:rsid w:val="002D0FE4"/>
    <w:rsid w:val="002E71B1"/>
    <w:rsid w:val="002E7213"/>
    <w:rsid w:val="002F007C"/>
    <w:rsid w:val="00302630"/>
    <w:rsid w:val="003104BA"/>
    <w:rsid w:val="00316170"/>
    <w:rsid w:val="00320E10"/>
    <w:rsid w:val="003239FC"/>
    <w:rsid w:val="00342240"/>
    <w:rsid w:val="003512BA"/>
    <w:rsid w:val="0037018A"/>
    <w:rsid w:val="0039136A"/>
    <w:rsid w:val="00392F17"/>
    <w:rsid w:val="003A05BC"/>
    <w:rsid w:val="003C44B9"/>
    <w:rsid w:val="003E41DC"/>
    <w:rsid w:val="0040063B"/>
    <w:rsid w:val="0041280F"/>
    <w:rsid w:val="00416C16"/>
    <w:rsid w:val="00441BD0"/>
    <w:rsid w:val="00455B60"/>
    <w:rsid w:val="00470C2D"/>
    <w:rsid w:val="00480307"/>
    <w:rsid w:val="00481EF7"/>
    <w:rsid w:val="00486F93"/>
    <w:rsid w:val="004875E4"/>
    <w:rsid w:val="00490D53"/>
    <w:rsid w:val="004A6B99"/>
    <w:rsid w:val="004B394E"/>
    <w:rsid w:val="004D46EC"/>
    <w:rsid w:val="004E3141"/>
    <w:rsid w:val="004F3862"/>
    <w:rsid w:val="004F4FBF"/>
    <w:rsid w:val="004F56AB"/>
    <w:rsid w:val="005057BA"/>
    <w:rsid w:val="00507F25"/>
    <w:rsid w:val="00510250"/>
    <w:rsid w:val="005341FB"/>
    <w:rsid w:val="00567E45"/>
    <w:rsid w:val="00587B3F"/>
    <w:rsid w:val="005B0E69"/>
    <w:rsid w:val="005B58B1"/>
    <w:rsid w:val="005B68AD"/>
    <w:rsid w:val="005C5848"/>
    <w:rsid w:val="005C5AF5"/>
    <w:rsid w:val="005D378F"/>
    <w:rsid w:val="005E623D"/>
    <w:rsid w:val="005F2851"/>
    <w:rsid w:val="005F39DB"/>
    <w:rsid w:val="00610D0A"/>
    <w:rsid w:val="00616CEC"/>
    <w:rsid w:val="00625C80"/>
    <w:rsid w:val="00631E21"/>
    <w:rsid w:val="006363A6"/>
    <w:rsid w:val="00653342"/>
    <w:rsid w:val="00654B3A"/>
    <w:rsid w:val="00666107"/>
    <w:rsid w:val="0068287A"/>
    <w:rsid w:val="00687A83"/>
    <w:rsid w:val="006B79B2"/>
    <w:rsid w:val="006C7D20"/>
    <w:rsid w:val="006D2556"/>
    <w:rsid w:val="006D2F4D"/>
    <w:rsid w:val="006D70A7"/>
    <w:rsid w:val="006F67C1"/>
    <w:rsid w:val="00727280"/>
    <w:rsid w:val="007446DD"/>
    <w:rsid w:val="0074780E"/>
    <w:rsid w:val="0075069A"/>
    <w:rsid w:val="00751F60"/>
    <w:rsid w:val="00763B10"/>
    <w:rsid w:val="007843D0"/>
    <w:rsid w:val="00793197"/>
    <w:rsid w:val="007A48C6"/>
    <w:rsid w:val="007B01F7"/>
    <w:rsid w:val="007B0C42"/>
    <w:rsid w:val="007C5933"/>
    <w:rsid w:val="007E413B"/>
    <w:rsid w:val="007E77D5"/>
    <w:rsid w:val="007F292F"/>
    <w:rsid w:val="008004EF"/>
    <w:rsid w:val="0081532F"/>
    <w:rsid w:val="00823DE1"/>
    <w:rsid w:val="00837EE5"/>
    <w:rsid w:val="00841BE0"/>
    <w:rsid w:val="0084467E"/>
    <w:rsid w:val="00853595"/>
    <w:rsid w:val="00881C97"/>
    <w:rsid w:val="00885EEB"/>
    <w:rsid w:val="00892605"/>
    <w:rsid w:val="0089296E"/>
    <w:rsid w:val="008A3A2B"/>
    <w:rsid w:val="008A76EC"/>
    <w:rsid w:val="008E558F"/>
    <w:rsid w:val="008F3C73"/>
    <w:rsid w:val="008F5E8D"/>
    <w:rsid w:val="00901C2C"/>
    <w:rsid w:val="00902E3D"/>
    <w:rsid w:val="00916477"/>
    <w:rsid w:val="00932B74"/>
    <w:rsid w:val="00933753"/>
    <w:rsid w:val="00934D96"/>
    <w:rsid w:val="00944087"/>
    <w:rsid w:val="0095419A"/>
    <w:rsid w:val="00963E3F"/>
    <w:rsid w:val="00991040"/>
    <w:rsid w:val="009C0DC8"/>
    <w:rsid w:val="009D2537"/>
    <w:rsid w:val="009E7A15"/>
    <w:rsid w:val="009F1C42"/>
    <w:rsid w:val="00A01B0E"/>
    <w:rsid w:val="00A020C2"/>
    <w:rsid w:val="00A13B34"/>
    <w:rsid w:val="00A20473"/>
    <w:rsid w:val="00A238A4"/>
    <w:rsid w:val="00A634D1"/>
    <w:rsid w:val="00A639C1"/>
    <w:rsid w:val="00A63F26"/>
    <w:rsid w:val="00AA1E96"/>
    <w:rsid w:val="00AB290E"/>
    <w:rsid w:val="00AB74BF"/>
    <w:rsid w:val="00AC2578"/>
    <w:rsid w:val="00AC4F05"/>
    <w:rsid w:val="00AD059D"/>
    <w:rsid w:val="00AF2603"/>
    <w:rsid w:val="00AF32F2"/>
    <w:rsid w:val="00AF3337"/>
    <w:rsid w:val="00B05061"/>
    <w:rsid w:val="00B06DB2"/>
    <w:rsid w:val="00B24B2A"/>
    <w:rsid w:val="00B363D8"/>
    <w:rsid w:val="00B527EB"/>
    <w:rsid w:val="00B85E4A"/>
    <w:rsid w:val="00BA1627"/>
    <w:rsid w:val="00BA4649"/>
    <w:rsid w:val="00BA493C"/>
    <w:rsid w:val="00BD20D9"/>
    <w:rsid w:val="00BE49C0"/>
    <w:rsid w:val="00BE775B"/>
    <w:rsid w:val="00C10503"/>
    <w:rsid w:val="00C16C46"/>
    <w:rsid w:val="00C233BC"/>
    <w:rsid w:val="00C31DE7"/>
    <w:rsid w:val="00C343FE"/>
    <w:rsid w:val="00C356D8"/>
    <w:rsid w:val="00C35BA9"/>
    <w:rsid w:val="00C46C5F"/>
    <w:rsid w:val="00C53F5D"/>
    <w:rsid w:val="00C546CA"/>
    <w:rsid w:val="00C5758A"/>
    <w:rsid w:val="00C6114D"/>
    <w:rsid w:val="00C622D2"/>
    <w:rsid w:val="00C72798"/>
    <w:rsid w:val="00C753AF"/>
    <w:rsid w:val="00C760D2"/>
    <w:rsid w:val="00C76AA3"/>
    <w:rsid w:val="00C854D9"/>
    <w:rsid w:val="00C87B3D"/>
    <w:rsid w:val="00C91A67"/>
    <w:rsid w:val="00CA2065"/>
    <w:rsid w:val="00CD08DF"/>
    <w:rsid w:val="00CE66AA"/>
    <w:rsid w:val="00CE7E85"/>
    <w:rsid w:val="00CF1B85"/>
    <w:rsid w:val="00CF5BD4"/>
    <w:rsid w:val="00D12BC2"/>
    <w:rsid w:val="00D33270"/>
    <w:rsid w:val="00D53409"/>
    <w:rsid w:val="00D60C9E"/>
    <w:rsid w:val="00D6247B"/>
    <w:rsid w:val="00D67A40"/>
    <w:rsid w:val="00D71EB1"/>
    <w:rsid w:val="00D83BF7"/>
    <w:rsid w:val="00DA1B02"/>
    <w:rsid w:val="00DA4A7B"/>
    <w:rsid w:val="00DA4EBC"/>
    <w:rsid w:val="00DB50A5"/>
    <w:rsid w:val="00DC4AB9"/>
    <w:rsid w:val="00DC7441"/>
    <w:rsid w:val="00DC7778"/>
    <w:rsid w:val="00DE4D6E"/>
    <w:rsid w:val="00E27FEB"/>
    <w:rsid w:val="00E35933"/>
    <w:rsid w:val="00E42CEC"/>
    <w:rsid w:val="00E5395E"/>
    <w:rsid w:val="00E615F4"/>
    <w:rsid w:val="00E61A46"/>
    <w:rsid w:val="00E67831"/>
    <w:rsid w:val="00E6783E"/>
    <w:rsid w:val="00EC3D45"/>
    <w:rsid w:val="00EC75D1"/>
    <w:rsid w:val="00ED229B"/>
    <w:rsid w:val="00EE268C"/>
    <w:rsid w:val="00F2473B"/>
    <w:rsid w:val="00F44988"/>
    <w:rsid w:val="00F575B5"/>
    <w:rsid w:val="00FA00DA"/>
    <w:rsid w:val="00FA24F7"/>
    <w:rsid w:val="00FA733F"/>
    <w:rsid w:val="00FB745C"/>
    <w:rsid w:val="00FD0DD4"/>
    <w:rsid w:val="00FE11C1"/>
    <w:rsid w:val="00FE1DB3"/>
    <w:rsid w:val="00FF4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653055C-7080-461C-BD47-A485B5EEF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1BD0"/>
    <w:pPr>
      <w:jc w:val="both"/>
    </w:pPr>
    <w:rPr>
      <w:rFonts w:asciiTheme="majorHAnsi" w:hAnsiTheme="majorHAns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302630"/>
    <w:pPr>
      <w:ind w:left="720"/>
      <w:contextualSpacing/>
    </w:pPr>
  </w:style>
  <w:style w:type="table" w:styleId="Tablaconcuadrcula">
    <w:name w:val="Table Grid"/>
    <w:basedOn w:val="Tablanormal"/>
    <w:uiPriority w:val="39"/>
    <w:rsid w:val="00F449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BA493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A493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A493C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BA493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A493C"/>
  </w:style>
  <w:style w:type="paragraph" w:styleId="Piedepgina">
    <w:name w:val="footer"/>
    <w:basedOn w:val="Normal"/>
    <w:link w:val="PiedepginaCar"/>
    <w:uiPriority w:val="99"/>
    <w:unhideWhenUsed/>
    <w:rsid w:val="00BA493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A493C"/>
  </w:style>
  <w:style w:type="character" w:styleId="Refdecomentario">
    <w:name w:val="annotation reference"/>
    <w:basedOn w:val="Fuentedeprrafopredeter"/>
    <w:uiPriority w:val="99"/>
    <w:semiHidden/>
    <w:unhideWhenUsed/>
    <w:rsid w:val="004B394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B394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B394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B394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B394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394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394E"/>
    <w:rPr>
      <w:rFonts w:ascii="Times New Roman" w:hAnsi="Times New Roman" w:cs="Times New Roman"/>
      <w:sz w:val="18"/>
      <w:szCs w:val="18"/>
    </w:rPr>
  </w:style>
  <w:style w:type="paragraph" w:styleId="Revisin">
    <w:name w:val="Revision"/>
    <w:hidden/>
    <w:uiPriority w:val="99"/>
    <w:semiHidden/>
    <w:rsid w:val="0041280F"/>
  </w:style>
  <w:style w:type="character" w:styleId="Hipervnculo">
    <w:name w:val="Hyperlink"/>
    <w:basedOn w:val="Fuentedeprrafopredeter"/>
    <w:uiPriority w:val="99"/>
    <w:unhideWhenUsed/>
    <w:rsid w:val="00E6783E"/>
    <w:rPr>
      <w:color w:val="242F62" w:themeColor="hyperlink"/>
      <w:u w:val="single"/>
    </w:rPr>
  </w:style>
  <w:style w:type="character" w:customStyle="1" w:styleId="PrrafodelistaCar">
    <w:name w:val="Párrafo de lista Car"/>
    <w:link w:val="Prrafodelista"/>
    <w:uiPriority w:val="34"/>
    <w:locked/>
    <w:rsid w:val="00A020C2"/>
    <w:rPr>
      <w:rFonts w:asciiTheme="majorHAnsi" w:hAnsiTheme="majorHAnsi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004EF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004EF"/>
    <w:rPr>
      <w:rFonts w:asciiTheme="majorHAnsi" w:hAnsiTheme="majorHAns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004E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6363A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cuadrcula4-nfasis1">
    <w:name w:val="Grid Table 4 Accent 1"/>
    <w:basedOn w:val="Tablanormal"/>
    <w:uiPriority w:val="49"/>
    <w:rsid w:val="00DA4EBC"/>
    <w:tblPr>
      <w:tblStyleRowBandSize w:val="1"/>
      <w:tblStyleColBandSize w:val="1"/>
      <w:tblBorders>
        <w:top w:val="single" w:sz="4" w:space="0" w:color="5A6CC2" w:themeColor="accent1" w:themeTint="99"/>
        <w:left w:val="single" w:sz="4" w:space="0" w:color="5A6CC2" w:themeColor="accent1" w:themeTint="99"/>
        <w:bottom w:val="single" w:sz="4" w:space="0" w:color="5A6CC2" w:themeColor="accent1" w:themeTint="99"/>
        <w:right w:val="single" w:sz="4" w:space="0" w:color="5A6CC2" w:themeColor="accent1" w:themeTint="99"/>
        <w:insideH w:val="single" w:sz="4" w:space="0" w:color="5A6CC2" w:themeColor="accent1" w:themeTint="99"/>
        <w:insideV w:val="single" w:sz="4" w:space="0" w:color="5A6C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2F62" w:themeColor="accent1"/>
          <w:left w:val="single" w:sz="4" w:space="0" w:color="242F62" w:themeColor="accent1"/>
          <w:bottom w:val="single" w:sz="4" w:space="0" w:color="242F62" w:themeColor="accent1"/>
          <w:right w:val="single" w:sz="4" w:space="0" w:color="242F62" w:themeColor="accent1"/>
          <w:insideH w:val="nil"/>
          <w:insideV w:val="nil"/>
        </w:tcBorders>
        <w:shd w:val="clear" w:color="auto" w:fill="242F62" w:themeFill="accent1"/>
      </w:tcPr>
    </w:tblStylePr>
    <w:tblStylePr w:type="lastRow">
      <w:rPr>
        <w:b/>
        <w:bCs/>
      </w:rPr>
      <w:tblPr/>
      <w:tcPr>
        <w:tcBorders>
          <w:top w:val="double" w:sz="4" w:space="0" w:color="242F6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EEA" w:themeFill="accent1" w:themeFillTint="33"/>
      </w:tcPr>
    </w:tblStylePr>
    <w:tblStylePr w:type="band1Horz">
      <w:tblPr/>
      <w:tcPr>
        <w:shd w:val="clear" w:color="auto" w:fill="C7CEEA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Pantone">
      <a:dk1>
        <a:srgbClr val="1D1D1B"/>
      </a:dk1>
      <a:lt1>
        <a:sysClr val="window" lastClr="FFFFFF"/>
      </a:lt1>
      <a:dk2>
        <a:srgbClr val="323232"/>
      </a:dk2>
      <a:lt2>
        <a:srgbClr val="E3DED1"/>
      </a:lt2>
      <a:accent1>
        <a:srgbClr val="242F62"/>
      </a:accent1>
      <a:accent2>
        <a:srgbClr val="6E368C"/>
      </a:accent2>
      <a:accent3>
        <a:srgbClr val="009982"/>
      </a:accent3>
      <a:accent4>
        <a:srgbClr val="A72886"/>
      </a:accent4>
      <a:accent5>
        <a:srgbClr val="DF8296"/>
      </a:accent5>
      <a:accent6>
        <a:srgbClr val="006250"/>
      </a:accent6>
      <a:hlink>
        <a:srgbClr val="242F62"/>
      </a:hlink>
      <a:folHlink>
        <a:srgbClr val="6E36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E2D541-2E36-4825-812A-1E4C22428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523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Wismar Soberanis</dc:creator>
  <cp:lastModifiedBy>Wilbert Suárez Solis</cp:lastModifiedBy>
  <cp:revision>2</cp:revision>
  <cp:lastPrinted>2019-04-25T22:27:00Z</cp:lastPrinted>
  <dcterms:created xsi:type="dcterms:W3CDTF">2020-05-21T18:15:00Z</dcterms:created>
  <dcterms:modified xsi:type="dcterms:W3CDTF">2020-05-21T18:15:00Z</dcterms:modified>
</cp:coreProperties>
</file>